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C19E8" w14:textId="796CFDE8" w:rsidR="00167888" w:rsidRPr="00E125C1" w:rsidRDefault="007151FF" w:rsidP="00E125C1">
      <w:pPr>
        <w:pStyle w:val="GvdeMetni"/>
        <w:spacing w:before="7" w:line="276" w:lineRule="auto"/>
        <w:jc w:val="center"/>
        <w:rPr>
          <w:b/>
          <w:sz w:val="22"/>
          <w:szCs w:val="22"/>
        </w:rPr>
      </w:pPr>
      <w:r w:rsidRPr="00E125C1">
        <w:rPr>
          <w:b/>
          <w:w w:val="95"/>
          <w:sz w:val="22"/>
          <w:szCs w:val="22"/>
        </w:rPr>
        <w:t>BİLGİ GÜVENLİĞİ YÖNETİM</w:t>
      </w:r>
      <w:r w:rsidR="00AB773B">
        <w:rPr>
          <w:b/>
          <w:w w:val="95"/>
          <w:sz w:val="22"/>
          <w:szCs w:val="22"/>
        </w:rPr>
        <w:t xml:space="preserve">İ </w:t>
      </w:r>
      <w:r w:rsidR="0007796D">
        <w:rPr>
          <w:b/>
          <w:w w:val="95"/>
          <w:sz w:val="22"/>
          <w:szCs w:val="22"/>
        </w:rPr>
        <w:t>VE</w:t>
      </w:r>
      <w:r w:rsidR="00AB773B">
        <w:rPr>
          <w:b/>
          <w:w w:val="95"/>
          <w:sz w:val="22"/>
          <w:szCs w:val="22"/>
        </w:rPr>
        <w:t xml:space="preserve"> </w:t>
      </w:r>
      <w:r w:rsidRPr="00E125C1">
        <w:rPr>
          <w:b/>
          <w:sz w:val="22"/>
          <w:szCs w:val="22"/>
        </w:rPr>
        <w:t>POLİTİKASI</w:t>
      </w:r>
    </w:p>
    <w:p w14:paraId="23487B57" w14:textId="77777777" w:rsidR="007151FF" w:rsidRPr="00E125C1" w:rsidRDefault="007151FF" w:rsidP="00E125C1">
      <w:pPr>
        <w:pStyle w:val="GvdeMetni"/>
        <w:spacing w:before="7" w:line="276" w:lineRule="auto"/>
        <w:jc w:val="both"/>
        <w:rPr>
          <w:b/>
          <w:sz w:val="22"/>
          <w:szCs w:val="22"/>
        </w:rPr>
      </w:pPr>
    </w:p>
    <w:p w14:paraId="0E27B00A" w14:textId="55209B47" w:rsidR="00167888" w:rsidRPr="00E125C1" w:rsidRDefault="00167888" w:rsidP="00E125C1">
      <w:pPr>
        <w:pStyle w:val="GvdeMetni"/>
        <w:spacing w:before="10" w:line="276" w:lineRule="auto"/>
        <w:jc w:val="both"/>
        <w:rPr>
          <w:sz w:val="22"/>
          <w:szCs w:val="22"/>
        </w:rPr>
      </w:pPr>
    </w:p>
    <w:p w14:paraId="7ACD5B3A" w14:textId="4682EE4F" w:rsidR="00E125C1" w:rsidRPr="00C70F72" w:rsidRDefault="00FB16A8" w:rsidP="00E125C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M</w:t>
      </w:r>
      <w:r w:rsidR="0007796D">
        <w:rPr>
          <w:rStyle w:val="normaltextrun"/>
          <w:rFonts w:ascii="Arial" w:hAnsi="Arial" w:cs="Arial"/>
          <w:b/>
          <w:bCs/>
          <w:sz w:val="22"/>
          <w:szCs w:val="22"/>
        </w:rPr>
        <w:t>alkara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 Ticaret </w:t>
      </w:r>
      <w:r w:rsidR="0007796D">
        <w:rPr>
          <w:rStyle w:val="normaltextrun"/>
          <w:rFonts w:ascii="Arial" w:hAnsi="Arial" w:cs="Arial"/>
          <w:b/>
          <w:bCs/>
          <w:sz w:val="22"/>
          <w:szCs w:val="22"/>
        </w:rPr>
        <w:t>Borsa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sı</w:t>
      </w:r>
      <w:r w:rsidR="0088136B" w:rsidRPr="0007796D">
        <w:rPr>
          <w:rStyle w:val="normaltextrun"/>
          <w:rFonts w:ascii="Arial" w:hAnsi="Arial" w:cs="Arial"/>
          <w:sz w:val="22"/>
          <w:szCs w:val="22"/>
        </w:rPr>
        <w:t xml:space="preserve"> (</w:t>
      </w:r>
      <w:r w:rsidR="0007796D">
        <w:rPr>
          <w:rStyle w:val="normaltextrun"/>
          <w:rFonts w:ascii="Arial" w:hAnsi="Arial" w:cs="Arial"/>
          <w:sz w:val="22"/>
          <w:szCs w:val="22"/>
        </w:rPr>
        <w:t>Borsa</w:t>
      </w:r>
      <w:r w:rsidR="0088136B" w:rsidRPr="0007796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07796D">
        <w:rPr>
          <w:rStyle w:val="normaltextrun"/>
          <w:rFonts w:ascii="Arial" w:hAnsi="Arial" w:cs="Arial"/>
          <w:sz w:val="22"/>
          <w:szCs w:val="22"/>
        </w:rPr>
        <w:t>veya</w:t>
      </w:r>
      <w:r w:rsidR="0088136B" w:rsidRPr="0007796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07796D">
        <w:rPr>
          <w:rStyle w:val="normaltextrun"/>
          <w:rFonts w:ascii="Arial" w:hAnsi="Arial" w:cs="Arial"/>
          <w:sz w:val="22"/>
          <w:szCs w:val="22"/>
        </w:rPr>
        <w:t>Borsa</w:t>
      </w:r>
      <w:r w:rsidR="0088136B" w:rsidRPr="0007796D">
        <w:rPr>
          <w:rStyle w:val="normaltextrun"/>
          <w:rFonts w:ascii="Arial" w:hAnsi="Arial" w:cs="Arial"/>
          <w:sz w:val="22"/>
          <w:szCs w:val="22"/>
        </w:rPr>
        <w:t>mız)</w:t>
      </w:r>
      <w:r w:rsidR="00E125C1" w:rsidRPr="0007796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07796D">
        <w:rPr>
          <w:rStyle w:val="normaltextrun"/>
          <w:rFonts w:ascii="Arial" w:hAnsi="Arial" w:cs="Arial"/>
          <w:sz w:val="22"/>
          <w:szCs w:val="22"/>
        </w:rPr>
        <w:t>y</w:t>
      </w:r>
      <w:r w:rsidR="00E125C1" w:rsidRPr="00E125C1">
        <w:rPr>
          <w:rStyle w:val="normaltextrun"/>
          <w:rFonts w:ascii="Arial" w:hAnsi="Arial" w:cs="Arial"/>
          <w:color w:val="000000"/>
          <w:sz w:val="22"/>
          <w:szCs w:val="22"/>
        </w:rPr>
        <w:t xml:space="preserve">önetimi, organizasyonun sorumluluğu altında bulunan bilgileri korumak için güvenlik önlemlerini yerine getirmenin önemini ve ihtiyacını vurgular. Çok gizli ve gizli </w:t>
      </w:r>
      <w:r w:rsidR="0007796D">
        <w:rPr>
          <w:rStyle w:val="normaltextrun"/>
          <w:rFonts w:ascii="Arial" w:hAnsi="Arial" w:cs="Arial"/>
          <w:color w:val="000000"/>
          <w:sz w:val="22"/>
          <w:szCs w:val="22"/>
        </w:rPr>
        <w:t>Borsa</w:t>
      </w:r>
      <w:r w:rsidR="00E125C1" w:rsidRPr="00E125C1">
        <w:rPr>
          <w:rStyle w:val="normaltextrun"/>
          <w:rFonts w:ascii="Arial" w:hAnsi="Arial" w:cs="Arial"/>
          <w:color w:val="000000"/>
          <w:sz w:val="22"/>
          <w:szCs w:val="22"/>
        </w:rPr>
        <w:t xml:space="preserve"> bilgisinin yetkilendirilmiş kullanıcıların kullanımına sunulması için gerekli önlemlerin alınmış olması şarttır. Teknik yollarla elde edilebilen güvenlik seviyesi sınırlıdır, dolayısıyla uygun yönetim, iş akışları ve prosedürler ile desteklenmelidir. </w:t>
      </w:r>
    </w:p>
    <w:p w14:paraId="1058A067" w14:textId="12C3C0EF" w:rsidR="00E125C1" w:rsidRPr="00C70F72" w:rsidRDefault="00E125C1" w:rsidP="00E125C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5A5A5A"/>
          <w:sz w:val="22"/>
          <w:szCs w:val="22"/>
        </w:rPr>
      </w:pPr>
      <w:r w:rsidRPr="00C70F72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30E47FD" w14:textId="74F833AD" w:rsidR="00E125C1" w:rsidRPr="00C70F72" w:rsidRDefault="0007796D" w:rsidP="00E125C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Borsa</w:t>
      </w:r>
      <w:r w:rsidR="0088136B" w:rsidRPr="00C70F72">
        <w:rPr>
          <w:rStyle w:val="normaltextrun"/>
          <w:rFonts w:ascii="Arial" w:hAnsi="Arial" w:cs="Arial"/>
          <w:sz w:val="22"/>
          <w:szCs w:val="22"/>
        </w:rPr>
        <w:t>mız</w:t>
      </w:r>
      <w:r w:rsidR="00E125C1" w:rsidRPr="00C70F72">
        <w:rPr>
          <w:rStyle w:val="normaltextrun"/>
          <w:rFonts w:ascii="Arial" w:hAnsi="Arial" w:cs="Arial"/>
          <w:color w:val="000000"/>
          <w:sz w:val="22"/>
          <w:szCs w:val="22"/>
        </w:rPr>
        <w:t xml:space="preserve">, bilgi varlıklarının ve bilgi sistemlerinin gizliliğinin, bütünlüğünün ve erişilebilirliğinin korunmasını, Bilgi Güvenliği Yönetim Sistemi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(BGYS) </w:t>
      </w:r>
      <w:r w:rsidR="00E125C1" w:rsidRPr="00C70F72">
        <w:rPr>
          <w:rStyle w:val="normaltextrun"/>
          <w:rFonts w:ascii="Arial" w:hAnsi="Arial" w:cs="Arial"/>
          <w:color w:val="000000"/>
          <w:sz w:val="22"/>
          <w:szCs w:val="22"/>
        </w:rPr>
        <w:t>olarak tanımlar. Bilgi varlıklarının korunmasına yönelik olarak her varlık üzerinde gizlilik, bütünlük ve erişilebilirlik değerlendirmesi yapılmaktadır.</w:t>
      </w:r>
      <w:r w:rsidR="00E125C1" w:rsidRPr="00C70F72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30998E0" w14:textId="77777777" w:rsidR="00E125C1" w:rsidRPr="00C70F72" w:rsidRDefault="00E125C1" w:rsidP="00E125C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5A5A5A"/>
          <w:sz w:val="22"/>
          <w:szCs w:val="22"/>
        </w:rPr>
      </w:pPr>
    </w:p>
    <w:p w14:paraId="4FB8A945" w14:textId="77777777" w:rsidR="0007796D" w:rsidRDefault="00E125C1" w:rsidP="00E125C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C70F72">
        <w:rPr>
          <w:rStyle w:val="normaltextrun"/>
          <w:rFonts w:ascii="Arial" w:hAnsi="Arial" w:cs="Arial"/>
          <w:color w:val="000000"/>
          <w:sz w:val="22"/>
          <w:szCs w:val="22"/>
        </w:rPr>
        <w:t xml:space="preserve">Gizlilik: Bilginin sadece yetkili kişiler tarafından erişilebilir olmasını ifade etmektedir. </w:t>
      </w:r>
    </w:p>
    <w:p w14:paraId="6A691553" w14:textId="77777777" w:rsidR="0007796D" w:rsidRDefault="00E125C1" w:rsidP="00E125C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C70F72">
        <w:rPr>
          <w:rStyle w:val="normaltextrun"/>
          <w:rFonts w:ascii="Arial" w:hAnsi="Arial" w:cs="Arial"/>
          <w:color w:val="000000"/>
          <w:sz w:val="22"/>
          <w:szCs w:val="22"/>
        </w:rPr>
        <w:t xml:space="preserve">Bütünlük: Bilginin doğruluğunu ve tamlığını olumsuz etkileyecek değişikliklere karşı korunmasını ifade etmektedir. </w:t>
      </w:r>
    </w:p>
    <w:p w14:paraId="45EC9412" w14:textId="7A42A962" w:rsidR="00E125C1" w:rsidRPr="00C70F72" w:rsidRDefault="00E125C1" w:rsidP="00E125C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C70F72">
        <w:rPr>
          <w:rStyle w:val="normaltextrun"/>
          <w:rFonts w:ascii="Arial" w:hAnsi="Arial" w:cs="Arial"/>
          <w:color w:val="000000"/>
          <w:sz w:val="22"/>
          <w:szCs w:val="22"/>
        </w:rPr>
        <w:t>Erişilebilirlik: Bilginin yetkili kullanıcılar tarafından gerektiğinde erişilebilir olmasını ifade etmektedir.</w:t>
      </w:r>
      <w:r w:rsidRPr="00C70F72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CC57B79" w14:textId="77777777" w:rsidR="00E125C1" w:rsidRPr="00C70F72" w:rsidRDefault="00E125C1" w:rsidP="00E125C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5A5A5A"/>
          <w:sz w:val="22"/>
          <w:szCs w:val="22"/>
        </w:rPr>
      </w:pPr>
    </w:p>
    <w:p w14:paraId="682ED2E6" w14:textId="5AF35D85" w:rsidR="00E125C1" w:rsidRPr="00C70F72" w:rsidRDefault="00E125C1" w:rsidP="00E125C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C70F72">
        <w:rPr>
          <w:rStyle w:val="normaltextrun"/>
          <w:rFonts w:ascii="Arial" w:hAnsi="Arial" w:cs="Arial"/>
          <w:color w:val="000000"/>
          <w:sz w:val="22"/>
          <w:szCs w:val="22"/>
        </w:rPr>
        <w:t xml:space="preserve">Bilgilerin gizliliği, bütünlüğü ve erişilebilirliği, </w:t>
      </w:r>
      <w:r w:rsidR="0007796D">
        <w:rPr>
          <w:rStyle w:val="normaltextrun"/>
          <w:rFonts w:ascii="Arial" w:hAnsi="Arial" w:cs="Arial"/>
          <w:sz w:val="22"/>
          <w:szCs w:val="22"/>
        </w:rPr>
        <w:t>Borsa</w:t>
      </w:r>
      <w:r w:rsidR="0088136B" w:rsidRPr="00C70F72">
        <w:rPr>
          <w:rStyle w:val="normaltextrun"/>
          <w:rFonts w:ascii="Arial" w:hAnsi="Arial" w:cs="Arial"/>
          <w:sz w:val="22"/>
          <w:szCs w:val="22"/>
        </w:rPr>
        <w:t>mız</w:t>
      </w:r>
      <w:r w:rsidRPr="00C70F72">
        <w:rPr>
          <w:rStyle w:val="normaltextrun"/>
          <w:rFonts w:ascii="Arial" w:hAnsi="Arial" w:cs="Arial"/>
          <w:color w:val="000000"/>
          <w:sz w:val="22"/>
          <w:szCs w:val="22"/>
        </w:rPr>
        <w:t>ın BGYS temel hedeflerinden birisidir. Hedeflenen BGYS sonuçlarına ulaşmak için </w:t>
      </w:r>
      <w:r w:rsidR="0007796D">
        <w:rPr>
          <w:rStyle w:val="normaltextrun"/>
          <w:rFonts w:ascii="Arial" w:hAnsi="Arial" w:cs="Arial"/>
          <w:sz w:val="22"/>
          <w:szCs w:val="22"/>
        </w:rPr>
        <w:t>Borsa</w:t>
      </w:r>
      <w:r w:rsidR="0088136B" w:rsidRPr="00C70F72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70F72">
        <w:rPr>
          <w:rStyle w:val="normaltextrun"/>
          <w:rFonts w:ascii="Arial" w:hAnsi="Arial" w:cs="Arial"/>
          <w:color w:val="000000"/>
          <w:sz w:val="22"/>
          <w:szCs w:val="22"/>
        </w:rPr>
        <w:t>Yönetimi, ISO 27001 Bilgi Güvenliği Yönetim </w:t>
      </w:r>
      <w:proofErr w:type="spellStart"/>
      <w:r w:rsidRPr="00C70F72">
        <w:rPr>
          <w:rStyle w:val="normaltextrun"/>
          <w:rFonts w:ascii="Arial" w:hAnsi="Arial" w:cs="Arial"/>
          <w:color w:val="000000"/>
          <w:sz w:val="22"/>
          <w:szCs w:val="22"/>
        </w:rPr>
        <w:t>Standar</w:t>
      </w:r>
      <w:r w:rsidR="0007796D">
        <w:rPr>
          <w:rStyle w:val="normaltextrun"/>
          <w:rFonts w:ascii="Arial" w:hAnsi="Arial" w:cs="Arial"/>
          <w:color w:val="000000"/>
          <w:sz w:val="22"/>
          <w:szCs w:val="22"/>
        </w:rPr>
        <w:t>d</w:t>
      </w:r>
      <w:r w:rsidRPr="00C70F72">
        <w:rPr>
          <w:rStyle w:val="normaltextrun"/>
          <w:rFonts w:ascii="Arial" w:hAnsi="Arial" w:cs="Arial"/>
          <w:color w:val="000000"/>
          <w:sz w:val="22"/>
          <w:szCs w:val="22"/>
        </w:rPr>
        <w:t>ı’na</w:t>
      </w:r>
      <w:proofErr w:type="spellEnd"/>
      <w:r w:rsidRPr="00C70F72">
        <w:rPr>
          <w:rStyle w:val="normaltextrun"/>
          <w:rFonts w:ascii="Arial" w:hAnsi="Arial" w:cs="Arial"/>
          <w:color w:val="000000"/>
          <w:sz w:val="22"/>
          <w:szCs w:val="22"/>
        </w:rPr>
        <w:t xml:space="preserve"> uyumlu olmayı sağlar. </w:t>
      </w:r>
      <w:r w:rsidR="0007796D">
        <w:rPr>
          <w:rStyle w:val="normaltextrun"/>
          <w:rFonts w:ascii="Arial" w:hAnsi="Arial" w:cs="Arial"/>
          <w:color w:val="000000"/>
          <w:sz w:val="22"/>
          <w:szCs w:val="22"/>
        </w:rPr>
        <w:t>Borsa</w:t>
      </w:r>
      <w:r w:rsidR="0088136B" w:rsidRPr="00C70F72">
        <w:rPr>
          <w:rStyle w:val="normaltextrun"/>
          <w:rFonts w:ascii="Arial" w:hAnsi="Arial" w:cs="Arial"/>
          <w:color w:val="000000"/>
          <w:sz w:val="22"/>
          <w:szCs w:val="22"/>
        </w:rPr>
        <w:t xml:space="preserve">mızda ki </w:t>
      </w:r>
      <w:r w:rsidRPr="00C70F72">
        <w:rPr>
          <w:rStyle w:val="normaltextrun"/>
          <w:rFonts w:ascii="Arial" w:hAnsi="Arial" w:cs="Arial"/>
          <w:color w:val="000000"/>
          <w:sz w:val="22"/>
          <w:szCs w:val="22"/>
        </w:rPr>
        <w:t xml:space="preserve">tüm iş birimleri ve ilgili taraflar, gerçekleştirdikleri faaliyetlerinde bu ilkelere dikkat edeceklerdir. </w:t>
      </w:r>
    </w:p>
    <w:p w14:paraId="2F19C2EA" w14:textId="77777777" w:rsidR="00504F27" w:rsidRPr="00C70F72" w:rsidRDefault="00504F27" w:rsidP="00E125C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1F2CE6C1" w14:textId="1D7D05F0" w:rsidR="00E125C1" w:rsidRPr="00C70F72" w:rsidRDefault="00E125C1" w:rsidP="00E125C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70F72">
        <w:rPr>
          <w:rStyle w:val="normaltextrun"/>
          <w:rFonts w:ascii="Arial" w:hAnsi="Arial" w:cs="Arial"/>
          <w:color w:val="000000"/>
          <w:sz w:val="22"/>
          <w:szCs w:val="22"/>
        </w:rPr>
        <w:t>Tüm </w:t>
      </w:r>
      <w:r w:rsidR="0007796D">
        <w:rPr>
          <w:rStyle w:val="normaltextrun"/>
          <w:rFonts w:ascii="Arial" w:hAnsi="Arial" w:cs="Arial"/>
          <w:sz w:val="22"/>
          <w:szCs w:val="22"/>
        </w:rPr>
        <w:t>Borsa</w:t>
      </w:r>
      <w:r w:rsidRPr="00C70F72">
        <w:rPr>
          <w:rStyle w:val="normaltextrun"/>
          <w:rFonts w:ascii="Arial" w:hAnsi="Arial" w:cs="Arial"/>
          <w:color w:val="000000"/>
          <w:sz w:val="22"/>
          <w:szCs w:val="22"/>
        </w:rPr>
        <w:t xml:space="preserve"> personeli ve üçüncü taraf personel, her seviyeden, bilgi güvenliği sistem gereksinimlerini yerine getirmekte ve sistemin etkinliğini artırmak için faaliyetler yürütmektedir.</w:t>
      </w:r>
      <w:r w:rsidRPr="00C70F72">
        <w:rPr>
          <w:rStyle w:val="eop"/>
          <w:rFonts w:ascii="Arial" w:hAnsi="Arial" w:cs="Arial"/>
          <w:color w:val="000000"/>
          <w:sz w:val="22"/>
          <w:szCs w:val="22"/>
        </w:rPr>
        <w:t> </w:t>
      </w:r>
      <w:r w:rsidR="0007796D">
        <w:rPr>
          <w:rStyle w:val="eop"/>
          <w:rFonts w:ascii="Arial" w:hAnsi="Arial" w:cs="Arial"/>
          <w:color w:val="000000"/>
          <w:sz w:val="22"/>
          <w:szCs w:val="22"/>
        </w:rPr>
        <w:t>Borsa</w:t>
      </w:r>
      <w:r w:rsidR="0088136B" w:rsidRPr="00C70F72">
        <w:rPr>
          <w:rStyle w:val="eop"/>
          <w:rFonts w:ascii="Arial" w:hAnsi="Arial" w:cs="Arial"/>
          <w:color w:val="000000"/>
          <w:sz w:val="22"/>
          <w:szCs w:val="22"/>
        </w:rPr>
        <w:t>mızın</w:t>
      </w:r>
      <w:r w:rsidRPr="00C70F72">
        <w:rPr>
          <w:rStyle w:val="eop"/>
          <w:rFonts w:ascii="Arial" w:hAnsi="Arial" w:cs="Arial"/>
          <w:color w:val="000000"/>
          <w:sz w:val="22"/>
          <w:szCs w:val="22"/>
        </w:rPr>
        <w:t xml:space="preserve"> </w:t>
      </w:r>
      <w:r w:rsidR="0007796D">
        <w:rPr>
          <w:rStyle w:val="eop"/>
          <w:rFonts w:ascii="Arial" w:hAnsi="Arial" w:cs="Arial"/>
          <w:color w:val="000000"/>
          <w:sz w:val="22"/>
          <w:szCs w:val="22"/>
        </w:rPr>
        <w:t>b</w:t>
      </w:r>
      <w:r w:rsidRPr="00C70F72">
        <w:rPr>
          <w:rFonts w:ascii="Arial" w:hAnsi="Arial" w:cs="Arial"/>
          <w:noProof/>
          <w:color w:val="000000" w:themeColor="text1"/>
          <w:spacing w:val="5"/>
          <w:sz w:val="22"/>
          <w:szCs w:val="22"/>
        </w:rPr>
        <w:t>ilgi varlıkları başta olmak üzere,</w:t>
      </w:r>
      <w:r w:rsidR="0088136B" w:rsidRPr="00C70F72">
        <w:rPr>
          <w:rFonts w:ascii="Arial" w:hAnsi="Arial" w:cs="Arial"/>
          <w:noProof/>
          <w:color w:val="000000" w:themeColor="text1"/>
          <w:spacing w:val="5"/>
          <w:sz w:val="22"/>
          <w:szCs w:val="22"/>
        </w:rPr>
        <w:t xml:space="preserve"> üyeleri</w:t>
      </w:r>
      <w:r w:rsidRPr="00C70F72">
        <w:rPr>
          <w:rFonts w:ascii="Arial" w:hAnsi="Arial" w:cs="Arial"/>
          <w:noProof/>
          <w:color w:val="000000" w:themeColor="text1"/>
          <w:spacing w:val="5"/>
          <w:sz w:val="22"/>
          <w:szCs w:val="22"/>
        </w:rPr>
        <w:t>, p</w:t>
      </w:r>
      <w:r w:rsidR="0088136B" w:rsidRPr="00C70F72">
        <w:rPr>
          <w:rFonts w:ascii="Arial" w:hAnsi="Arial" w:cs="Arial"/>
          <w:noProof/>
          <w:color w:val="000000" w:themeColor="text1"/>
          <w:spacing w:val="5"/>
          <w:sz w:val="22"/>
          <w:szCs w:val="22"/>
        </w:rPr>
        <w:t>ersoneller</w:t>
      </w:r>
      <w:r w:rsidRPr="00C70F72">
        <w:rPr>
          <w:rFonts w:ascii="Arial" w:hAnsi="Arial" w:cs="Arial"/>
          <w:noProof/>
          <w:color w:val="000000" w:themeColor="text1"/>
          <w:spacing w:val="5"/>
          <w:sz w:val="22"/>
          <w:szCs w:val="22"/>
        </w:rPr>
        <w:t>, tedarikçiler veya diğer üçüncü kişilere ait bilgilerin gizliliğini, bütünlüğünü ve erişilebilirliğini güvence altına almayı ve yetkisiz erişimden korumayı amaçlar.</w:t>
      </w:r>
    </w:p>
    <w:p w14:paraId="4224F738" w14:textId="77777777" w:rsidR="00E125C1" w:rsidRPr="00C70F72" w:rsidRDefault="00E125C1" w:rsidP="00E125C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5A5A5A"/>
          <w:sz w:val="22"/>
          <w:szCs w:val="22"/>
        </w:rPr>
      </w:pPr>
    </w:p>
    <w:p w14:paraId="38BBBFDD" w14:textId="39BBF6CA" w:rsidR="00E125C1" w:rsidRPr="00C70F72" w:rsidRDefault="0007796D" w:rsidP="00E125C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Borsa</w:t>
      </w:r>
      <w:r w:rsidR="0088136B" w:rsidRPr="00C70F72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E125C1" w:rsidRPr="00C70F72">
        <w:rPr>
          <w:rStyle w:val="normaltextrun"/>
          <w:rFonts w:ascii="Arial" w:hAnsi="Arial" w:cs="Arial"/>
          <w:color w:val="000000"/>
          <w:sz w:val="22"/>
          <w:szCs w:val="22"/>
        </w:rPr>
        <w:t>Yönetimi, Bilgi Güvenliği Yönetim Sistemi açısından sürekli iyileştirme ve iş sürekliliğinin sürdürülmesini ve yönetilmesini sağlar.</w:t>
      </w:r>
      <w:r w:rsidR="00E125C1" w:rsidRPr="00C70F72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49F77B2" w14:textId="77777777" w:rsidR="00504F27" w:rsidRPr="00C70F72" w:rsidRDefault="00504F27" w:rsidP="00E125C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5A5A5A"/>
          <w:sz w:val="22"/>
          <w:szCs w:val="22"/>
        </w:rPr>
      </w:pPr>
    </w:p>
    <w:p w14:paraId="22327149" w14:textId="091DFF5B" w:rsidR="00E125C1" w:rsidRPr="00C70F72" w:rsidRDefault="00E125C1" w:rsidP="00E125C1">
      <w:pPr>
        <w:tabs>
          <w:tab w:val="left" w:pos="680"/>
        </w:tabs>
        <w:spacing w:before="86" w:line="276" w:lineRule="auto"/>
        <w:ind w:right="137"/>
        <w:jc w:val="both"/>
        <w:rPr>
          <w:rFonts w:eastAsia="Times New Roman"/>
          <w:noProof/>
          <w:color w:val="000000" w:themeColor="text1"/>
          <w:spacing w:val="5"/>
          <w:lang w:eastAsia="tr-TR"/>
        </w:rPr>
      </w:pPr>
      <w:r w:rsidRPr="00C70F72">
        <w:rPr>
          <w:rFonts w:eastAsia="Times New Roman"/>
          <w:noProof/>
          <w:color w:val="000000" w:themeColor="text1"/>
          <w:spacing w:val="5"/>
          <w:lang w:eastAsia="tr-TR"/>
        </w:rPr>
        <w:t xml:space="preserve">Bilgi Güvenliği </w:t>
      </w:r>
      <w:r w:rsidR="0007796D">
        <w:rPr>
          <w:rFonts w:eastAsia="Times New Roman"/>
          <w:noProof/>
          <w:color w:val="000000" w:themeColor="text1"/>
          <w:spacing w:val="5"/>
          <w:lang w:eastAsia="tr-TR"/>
        </w:rPr>
        <w:t>k</w:t>
      </w:r>
      <w:r w:rsidRPr="00C70F72">
        <w:rPr>
          <w:rFonts w:eastAsia="Times New Roman"/>
          <w:noProof/>
          <w:color w:val="000000" w:themeColor="text1"/>
          <w:spacing w:val="5"/>
          <w:lang w:eastAsia="tr-TR"/>
        </w:rPr>
        <w:t>apsamında oluşturulmuş kural ve süreçleri ihlal eden personel</w:t>
      </w:r>
      <w:r w:rsidR="0088136B" w:rsidRPr="00C70F72">
        <w:rPr>
          <w:rFonts w:eastAsia="Times New Roman"/>
          <w:noProof/>
          <w:color w:val="000000" w:themeColor="text1"/>
          <w:spacing w:val="5"/>
          <w:lang w:eastAsia="tr-TR"/>
        </w:rPr>
        <w:t xml:space="preserve"> veya</w:t>
      </w:r>
      <w:r w:rsidRPr="00C70F72">
        <w:rPr>
          <w:rFonts w:eastAsia="Times New Roman"/>
          <w:noProof/>
          <w:color w:val="000000" w:themeColor="text1"/>
          <w:spacing w:val="5"/>
          <w:lang w:eastAsia="tr-TR"/>
        </w:rPr>
        <w:t xml:space="preserve"> üçüncü taraflar hakkında adli ve idari yasal takibat başlatılarak; işlem yapılabilir ve/veya ilgili sözleşmelerde yer alan yaptırımlarının bir ya da birden fazla hükmü uygulanabilir.</w:t>
      </w:r>
    </w:p>
    <w:p w14:paraId="15BC43C0" w14:textId="0430C23C" w:rsidR="00E125C1" w:rsidRPr="00C70F72" w:rsidRDefault="00E125C1" w:rsidP="00E125C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EF1CAAF" w14:textId="77777777" w:rsidR="00E125C1" w:rsidRPr="00E125C1" w:rsidRDefault="00E125C1" w:rsidP="00E125C1">
      <w:pPr>
        <w:pStyle w:val="GvdeMetni"/>
        <w:spacing w:before="10" w:line="276" w:lineRule="auto"/>
        <w:jc w:val="both"/>
        <w:rPr>
          <w:sz w:val="22"/>
          <w:szCs w:val="22"/>
        </w:rPr>
      </w:pPr>
    </w:p>
    <w:sectPr w:rsidR="00E125C1" w:rsidRPr="00E125C1" w:rsidSect="00172DE0">
      <w:type w:val="continuous"/>
      <w:pgSz w:w="11910" w:h="16850"/>
      <w:pgMar w:top="1140" w:right="7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86519"/>
    <w:multiLevelType w:val="hybridMultilevel"/>
    <w:tmpl w:val="5810BBA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76704"/>
    <w:multiLevelType w:val="multilevel"/>
    <w:tmpl w:val="0E6C9138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rebuchet MS" w:eastAsia="Trebuchet MS" w:hAnsi="Trebuchet MS" w:cs="Trebuchet MS" w:hint="default"/>
        <w:b/>
        <w:bCs/>
        <w:spacing w:val="-1"/>
        <w:w w:val="80"/>
        <w:sz w:val="20"/>
        <w:szCs w:val="2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79" w:hanging="567"/>
        <w:jc w:val="left"/>
      </w:pPr>
      <w:rPr>
        <w:rFonts w:ascii="Trebuchet MS" w:eastAsia="Trebuchet MS" w:hAnsi="Trebuchet MS" w:cs="Trebuchet MS" w:hint="default"/>
        <w:b/>
        <w:bCs/>
        <w:color w:val="252525"/>
        <w:spacing w:val="-1"/>
        <w:w w:val="80"/>
        <w:sz w:val="20"/>
        <w:szCs w:val="20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193" w:hanging="720"/>
        <w:jc w:val="left"/>
      </w:pPr>
      <w:rPr>
        <w:rFonts w:hint="default"/>
        <w:w w:val="90"/>
        <w:lang w:val="tr-TR" w:eastAsia="en-US" w:bidi="ar-SA"/>
      </w:rPr>
    </w:lvl>
    <w:lvl w:ilvl="3">
      <w:numFmt w:val="bullet"/>
      <w:lvlText w:val="•"/>
      <w:lvlJc w:val="left"/>
      <w:pPr>
        <w:ind w:left="2320" w:hanging="7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441" w:hanging="7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562" w:hanging="7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683" w:hanging="7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804" w:hanging="7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24" w:hanging="720"/>
      </w:pPr>
      <w:rPr>
        <w:rFonts w:hint="default"/>
        <w:lang w:val="tr-TR" w:eastAsia="en-US" w:bidi="ar-SA"/>
      </w:rPr>
    </w:lvl>
  </w:abstractNum>
  <w:abstractNum w:abstractNumId="2" w15:restartNumberingAfterBreak="0">
    <w:nsid w:val="5DC22848"/>
    <w:multiLevelType w:val="hybridMultilevel"/>
    <w:tmpl w:val="730AC55C"/>
    <w:lvl w:ilvl="0" w:tplc="041F0017">
      <w:start w:val="1"/>
      <w:numFmt w:val="lowerLetter"/>
      <w:lvlText w:val="%1)"/>
      <w:lvlJc w:val="left"/>
      <w:pPr>
        <w:ind w:left="4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2" w:hanging="360"/>
      </w:pPr>
    </w:lvl>
    <w:lvl w:ilvl="2" w:tplc="041F001B" w:tentative="1">
      <w:start w:val="1"/>
      <w:numFmt w:val="lowerRoman"/>
      <w:lvlText w:val="%3."/>
      <w:lvlJc w:val="right"/>
      <w:pPr>
        <w:ind w:left="1912" w:hanging="180"/>
      </w:pPr>
    </w:lvl>
    <w:lvl w:ilvl="3" w:tplc="041F000F" w:tentative="1">
      <w:start w:val="1"/>
      <w:numFmt w:val="decimal"/>
      <w:lvlText w:val="%4."/>
      <w:lvlJc w:val="left"/>
      <w:pPr>
        <w:ind w:left="2632" w:hanging="360"/>
      </w:pPr>
    </w:lvl>
    <w:lvl w:ilvl="4" w:tplc="041F0019" w:tentative="1">
      <w:start w:val="1"/>
      <w:numFmt w:val="lowerLetter"/>
      <w:lvlText w:val="%5."/>
      <w:lvlJc w:val="left"/>
      <w:pPr>
        <w:ind w:left="3352" w:hanging="360"/>
      </w:pPr>
    </w:lvl>
    <w:lvl w:ilvl="5" w:tplc="041F001B" w:tentative="1">
      <w:start w:val="1"/>
      <w:numFmt w:val="lowerRoman"/>
      <w:lvlText w:val="%6."/>
      <w:lvlJc w:val="right"/>
      <w:pPr>
        <w:ind w:left="4072" w:hanging="180"/>
      </w:pPr>
    </w:lvl>
    <w:lvl w:ilvl="6" w:tplc="041F000F" w:tentative="1">
      <w:start w:val="1"/>
      <w:numFmt w:val="decimal"/>
      <w:lvlText w:val="%7."/>
      <w:lvlJc w:val="left"/>
      <w:pPr>
        <w:ind w:left="4792" w:hanging="360"/>
      </w:pPr>
    </w:lvl>
    <w:lvl w:ilvl="7" w:tplc="041F0019" w:tentative="1">
      <w:start w:val="1"/>
      <w:numFmt w:val="lowerLetter"/>
      <w:lvlText w:val="%8."/>
      <w:lvlJc w:val="left"/>
      <w:pPr>
        <w:ind w:left="5512" w:hanging="360"/>
      </w:pPr>
    </w:lvl>
    <w:lvl w:ilvl="8" w:tplc="041F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" w15:restartNumberingAfterBreak="0">
    <w:nsid w:val="60BA16E9"/>
    <w:multiLevelType w:val="hybridMultilevel"/>
    <w:tmpl w:val="1932D8A6"/>
    <w:lvl w:ilvl="0" w:tplc="041F000B">
      <w:start w:val="1"/>
      <w:numFmt w:val="bullet"/>
      <w:lvlText w:val=""/>
      <w:lvlJc w:val="left"/>
      <w:pPr>
        <w:ind w:left="119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" w15:restartNumberingAfterBreak="0">
    <w:nsid w:val="7C1B6378"/>
    <w:multiLevelType w:val="multilevel"/>
    <w:tmpl w:val="89EA4416"/>
    <w:lvl w:ilvl="0">
      <w:start w:val="3"/>
      <w:numFmt w:val="decimal"/>
      <w:lvlText w:val="%1"/>
      <w:lvlJc w:val="left"/>
      <w:pPr>
        <w:ind w:left="473" w:hanging="361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473" w:hanging="361"/>
        <w:jc w:val="left"/>
      </w:pPr>
      <w:rPr>
        <w:rFonts w:ascii="Arial" w:eastAsia="Arial" w:hAnsi="Arial" w:cs="Arial" w:hint="default"/>
        <w:w w:val="90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2417" w:hanging="36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385" w:hanging="36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354" w:hanging="36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323" w:hanging="36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291" w:hanging="36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260" w:hanging="36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229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7EBC57B8"/>
    <w:multiLevelType w:val="hybridMultilevel"/>
    <w:tmpl w:val="DA20B1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1731D"/>
    <w:multiLevelType w:val="hybridMultilevel"/>
    <w:tmpl w:val="730AC55C"/>
    <w:lvl w:ilvl="0" w:tplc="041F0017">
      <w:start w:val="1"/>
      <w:numFmt w:val="lowerLetter"/>
      <w:lvlText w:val="%1)"/>
      <w:lvlJc w:val="left"/>
      <w:pPr>
        <w:ind w:left="4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2" w:hanging="360"/>
      </w:pPr>
    </w:lvl>
    <w:lvl w:ilvl="2" w:tplc="041F001B" w:tentative="1">
      <w:start w:val="1"/>
      <w:numFmt w:val="lowerRoman"/>
      <w:lvlText w:val="%3."/>
      <w:lvlJc w:val="right"/>
      <w:pPr>
        <w:ind w:left="1912" w:hanging="180"/>
      </w:pPr>
    </w:lvl>
    <w:lvl w:ilvl="3" w:tplc="041F000F" w:tentative="1">
      <w:start w:val="1"/>
      <w:numFmt w:val="decimal"/>
      <w:lvlText w:val="%4."/>
      <w:lvlJc w:val="left"/>
      <w:pPr>
        <w:ind w:left="2632" w:hanging="360"/>
      </w:pPr>
    </w:lvl>
    <w:lvl w:ilvl="4" w:tplc="041F0019" w:tentative="1">
      <w:start w:val="1"/>
      <w:numFmt w:val="lowerLetter"/>
      <w:lvlText w:val="%5."/>
      <w:lvlJc w:val="left"/>
      <w:pPr>
        <w:ind w:left="3352" w:hanging="360"/>
      </w:pPr>
    </w:lvl>
    <w:lvl w:ilvl="5" w:tplc="041F001B" w:tentative="1">
      <w:start w:val="1"/>
      <w:numFmt w:val="lowerRoman"/>
      <w:lvlText w:val="%6."/>
      <w:lvlJc w:val="right"/>
      <w:pPr>
        <w:ind w:left="4072" w:hanging="180"/>
      </w:pPr>
    </w:lvl>
    <w:lvl w:ilvl="6" w:tplc="041F000F" w:tentative="1">
      <w:start w:val="1"/>
      <w:numFmt w:val="decimal"/>
      <w:lvlText w:val="%7."/>
      <w:lvlJc w:val="left"/>
      <w:pPr>
        <w:ind w:left="4792" w:hanging="360"/>
      </w:pPr>
    </w:lvl>
    <w:lvl w:ilvl="7" w:tplc="041F0019" w:tentative="1">
      <w:start w:val="1"/>
      <w:numFmt w:val="lowerLetter"/>
      <w:lvlText w:val="%8."/>
      <w:lvlJc w:val="left"/>
      <w:pPr>
        <w:ind w:left="5512" w:hanging="360"/>
      </w:pPr>
    </w:lvl>
    <w:lvl w:ilvl="8" w:tplc="041F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888"/>
    <w:rsid w:val="0007796D"/>
    <w:rsid w:val="00167888"/>
    <w:rsid w:val="00172DE0"/>
    <w:rsid w:val="001D05CD"/>
    <w:rsid w:val="003F4C71"/>
    <w:rsid w:val="00504F27"/>
    <w:rsid w:val="007151FF"/>
    <w:rsid w:val="0088136B"/>
    <w:rsid w:val="00901008"/>
    <w:rsid w:val="00A479EC"/>
    <w:rsid w:val="00AB773B"/>
    <w:rsid w:val="00AF2383"/>
    <w:rsid w:val="00C70F72"/>
    <w:rsid w:val="00DE5250"/>
    <w:rsid w:val="00E125C1"/>
    <w:rsid w:val="00FB16A8"/>
    <w:rsid w:val="00FF61C2"/>
    <w:rsid w:val="083D874B"/>
    <w:rsid w:val="0864B147"/>
    <w:rsid w:val="2A0BFDF7"/>
    <w:rsid w:val="37759986"/>
    <w:rsid w:val="39DB9066"/>
    <w:rsid w:val="3B251D6D"/>
    <w:rsid w:val="5F588745"/>
    <w:rsid w:val="5F8BBEBD"/>
    <w:rsid w:val="6136DEA3"/>
    <w:rsid w:val="6BB3D8B5"/>
    <w:rsid w:val="6E55BCF6"/>
    <w:rsid w:val="6FC1D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918D"/>
  <w15:docId w15:val="{32C9A148-2EBA-417F-9A36-F145328F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9"/>
    <w:qFormat/>
    <w:pPr>
      <w:spacing w:before="1"/>
      <w:ind w:left="396" w:hanging="285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1"/>
      <w:ind w:left="1193" w:hanging="72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72"/>
    </w:pPr>
    <w:rPr>
      <w:rFonts w:ascii="Trebuchet MS" w:eastAsia="Trebuchet MS" w:hAnsi="Trebuchet MS" w:cs="Trebuchet M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2DE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DE0"/>
    <w:rPr>
      <w:rFonts w:ascii="Segoe UI" w:eastAsia="Arial" w:hAnsi="Segoe UI" w:cs="Segoe UI"/>
      <w:sz w:val="18"/>
      <w:szCs w:val="18"/>
      <w:lang w:val="tr-TR"/>
    </w:rPr>
  </w:style>
  <w:style w:type="paragraph" w:customStyle="1" w:styleId="paragraph">
    <w:name w:val="paragraph"/>
    <w:basedOn w:val="Normal"/>
    <w:rsid w:val="00E125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E125C1"/>
  </w:style>
  <w:style w:type="character" w:customStyle="1" w:styleId="eop">
    <w:name w:val="eop"/>
    <w:basedOn w:val="VarsaylanParagrafYazTipi"/>
    <w:rsid w:val="00E12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14488-7FCE-4581-87E4-8309F949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fatih yılmaz</cp:lastModifiedBy>
  <cp:revision>21</cp:revision>
  <dcterms:created xsi:type="dcterms:W3CDTF">2020-01-10T06:46:00Z</dcterms:created>
  <dcterms:modified xsi:type="dcterms:W3CDTF">2026-04-02T10:22:00Z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2019-12-31T00:00:00Z</vt:filetime>
  </property>
</Properties>
</file>